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Día Internacional del Tennesse Whiskey </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20 de mayo de 2021</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Para siempre, el </w:t>
      </w:r>
      <w:r w:rsidDel="00000000" w:rsidR="00000000" w:rsidRPr="00000000">
        <w:rPr>
          <w:rFonts w:ascii="Calibri" w:cs="Calibri" w:eastAsia="Calibri" w:hAnsi="Calibri"/>
          <w:b w:val="1"/>
          <w:sz w:val="24"/>
          <w:szCs w:val="24"/>
          <w:rtl w:val="0"/>
        </w:rPr>
        <w:t xml:space="preserve">21 de mayo</w:t>
      </w:r>
      <w:r w:rsidDel="00000000" w:rsidR="00000000" w:rsidRPr="00000000">
        <w:rPr>
          <w:rFonts w:ascii="Calibri" w:cs="Calibri" w:eastAsia="Calibri" w:hAnsi="Calibri"/>
          <w:sz w:val="24"/>
          <w:szCs w:val="24"/>
          <w:rtl w:val="0"/>
        </w:rPr>
        <w:t xml:space="preserve"> será especial y de conmemoración para el Tennessee Whiskey. Esta fecha ha sido oficialmente designada como el </w:t>
      </w:r>
      <w:r w:rsidDel="00000000" w:rsidR="00000000" w:rsidRPr="00000000">
        <w:rPr>
          <w:rFonts w:ascii="Calibri" w:cs="Calibri" w:eastAsia="Calibri" w:hAnsi="Calibri"/>
          <w:b w:val="1"/>
          <w:i w:val="1"/>
          <w:sz w:val="24"/>
          <w:szCs w:val="24"/>
          <w:rtl w:val="0"/>
        </w:rPr>
        <w:t xml:space="preserve">Día Internacional del Tennessee Whiske</w:t>
      </w:r>
      <w:r w:rsidDel="00000000" w:rsidR="00000000" w:rsidRPr="00000000">
        <w:rPr>
          <w:rFonts w:ascii="Calibri" w:cs="Calibri" w:eastAsia="Calibri" w:hAnsi="Calibri"/>
          <w:i w:val="1"/>
          <w:sz w:val="24"/>
          <w:szCs w:val="24"/>
          <w:rtl w:val="0"/>
        </w:rPr>
        <w:t xml:space="preserve">y</w:t>
      </w:r>
      <w:r w:rsidDel="00000000" w:rsidR="00000000" w:rsidRPr="00000000">
        <w:rPr>
          <w:rFonts w:ascii="Calibri" w:cs="Calibri" w:eastAsia="Calibri" w:hAnsi="Calibri"/>
          <w:sz w:val="24"/>
          <w:szCs w:val="24"/>
          <w:rtl w:val="0"/>
        </w:rPr>
        <w:t xml:space="preserve">, emitido por </w:t>
      </w:r>
      <w:r w:rsidDel="00000000" w:rsidR="00000000" w:rsidRPr="00000000">
        <w:rPr>
          <w:rFonts w:ascii="Calibri" w:cs="Calibri" w:eastAsia="Calibri" w:hAnsi="Calibri"/>
          <w:sz w:val="24"/>
          <w:szCs w:val="24"/>
          <w:rtl w:val="0"/>
        </w:rPr>
        <w:t xml:space="preserve">la Legislatura de este estado. </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nueva conmemoración está diseñada para celebrar y reconocer las contribuciones de la industria de la destilación en Tennessee, que es muy conocida y apreciada a nivel mundial. También busca celebrar a su gente, sus productos y el estatus que tiene a nivel mundial como productor de whiskey.</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Tennessee se posicionó como el estado perfecto para la producción de este destilado por sus condiciones climáticas y su tierra. Aunado a eso y al entusiasmo de la gente, logró una industria sólida y la creación de múltiples destilerías que le dieron renombre a la región, hasta la aparición de la Ley Seca y la prohibición de bebidas alcohólicas, poniéndole un alto al negocio de 1920 a 1933. </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Pero incluso con la derogación de la ley seca a nivel nacional, muchos condados de Tennessee mantuvieron la ley a nivel local, lo que provocó la fabricación de whiskey clandestino de parte de productores quienes no querían dejar atrás ese símbolo cultural.</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esta nueva celebración ocurra en esta fecha específica no es casualidad. Fue el 21 de mayo de 1937 cuando el estado por fin derogó la prohibición de fabricar bebidas espirituosas y dio de nuevo libertad para su creación y su consumo. Este nuevo Día Internacional del Tennessee Whiskey busca conmemorar esa fecha tan importante en la identidad del estado.</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Después de la prohibición, las destilerías volvieron a su trabajo y Jack Daniel’s lideró la reconstrucción de la industria hasta volverla el estandarte del buen whiskey que es hoy. </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los líderes mundiales del Tennessee whiskey, queremos celebrar con los </w:t>
      </w:r>
      <w:r w:rsidDel="00000000" w:rsidR="00000000" w:rsidRPr="00000000">
        <w:rPr>
          <w:rFonts w:ascii="Calibri" w:cs="Calibri" w:eastAsia="Calibri" w:hAnsi="Calibri"/>
          <w:b w:val="1"/>
          <w:i w:val="1"/>
          <w:sz w:val="24"/>
          <w:szCs w:val="24"/>
          <w:rtl w:val="0"/>
        </w:rPr>
        <w:t xml:space="preserve">Amigos de Jack</w:t>
      </w:r>
      <w:r w:rsidDel="00000000" w:rsidR="00000000" w:rsidRPr="00000000">
        <w:rPr>
          <w:rFonts w:ascii="Calibri" w:cs="Calibri" w:eastAsia="Calibri" w:hAnsi="Calibri"/>
          <w:sz w:val="24"/>
          <w:szCs w:val="24"/>
          <w:rtl w:val="0"/>
        </w:rPr>
        <w:t xml:space="preserve"> de todo el mundo. Esta fecha más que local, es una nueva festividad anual que conmemora la tradición del whiskey de calidad en cada rincón del planeta. </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Para saber más visita: </w:t>
      </w:r>
      <w:hyperlink r:id="rId6">
        <w:r w:rsidDel="00000000" w:rsidR="00000000" w:rsidRPr="00000000">
          <w:rPr>
            <w:color w:val="1155cc"/>
            <w:u w:val="single"/>
            <w:rtl w:val="0"/>
          </w:rPr>
          <w:t xml:space="preserve">https://www.jackdaniels.com</w:t>
        </w:r>
      </w:hyperlink>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Síguenos en:</w:t>
      </w:r>
    </w:p>
    <w:p w:rsidR="00000000" w:rsidDel="00000000" w:rsidP="00000000" w:rsidRDefault="00000000" w:rsidRPr="00000000" w14:paraId="00000020">
      <w:pPr>
        <w:jc w:val="both"/>
        <w:rPr/>
      </w:pPr>
      <w:r w:rsidDel="00000000" w:rsidR="00000000" w:rsidRPr="00000000">
        <w:rPr>
          <w:rtl w:val="0"/>
        </w:rPr>
        <w:t xml:space="preserve">Facebook:</w:t>
      </w:r>
      <w:hyperlink r:id="rId7">
        <w:r w:rsidDel="00000000" w:rsidR="00000000" w:rsidRPr="00000000">
          <w:rPr>
            <w:color w:val="1155cc"/>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Twitter: </w:t>
      </w:r>
      <w:hyperlink r:id="rId8">
        <w:r w:rsidDel="00000000" w:rsidR="00000000" w:rsidRPr="00000000">
          <w:rPr>
            <w:color w:val="1155cc"/>
            <w:u w:val="single"/>
            <w:rtl w:val="0"/>
          </w:rPr>
          <w:t xml:space="preserve">https://twitter.com/jackdaniels_mx</w:t>
        </w:r>
      </w:hyperlink>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Instagram: </w:t>
      </w:r>
      <w:hyperlink r:id="rId9">
        <w:r w:rsidDel="00000000" w:rsidR="00000000" w:rsidRPr="00000000">
          <w:rPr>
            <w:color w:val="1155cc"/>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23">
      <w:pPr>
        <w:jc w:val="both"/>
        <w:rPr>
          <w:rFonts w:ascii="Roboto" w:cs="Roboto" w:eastAsia="Roboto" w:hAnsi="Roboto"/>
          <w:b w:val="1"/>
          <w:color w:val="555555"/>
          <w:sz w:val="24"/>
          <w:szCs w:val="24"/>
        </w:rPr>
      </w:pPr>
      <w:r w:rsidDel="00000000" w:rsidR="00000000" w:rsidRPr="00000000">
        <w:rPr>
          <w:rtl w:val="0"/>
        </w:rPr>
        <w:t xml:space="preserve">YouTube: </w:t>
      </w:r>
      <w:hyperlink r:id="rId10">
        <w:r w:rsidDel="00000000" w:rsidR="00000000" w:rsidRPr="00000000">
          <w:rPr>
            <w:color w:val="1155cc"/>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2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w:t>
      </w:r>
    </w:p>
    <w:p w:rsidR="00000000" w:rsidDel="00000000" w:rsidP="00000000" w:rsidRDefault="00000000" w:rsidRPr="00000000" w14:paraId="00000026">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QPRW                        QPRW</w:t>
      </w:r>
    </w:p>
    <w:p w:rsidR="00000000" w:rsidDel="00000000" w:rsidP="00000000" w:rsidRDefault="00000000" w:rsidRPr="00000000" w14:paraId="0000002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José Sámano            Paola Martínez</w:t>
      </w:r>
    </w:p>
    <w:p w:rsidR="00000000" w:rsidDel="00000000" w:rsidP="00000000" w:rsidRDefault="00000000" w:rsidRPr="00000000" w14:paraId="00000028">
      <w:pPr>
        <w:rPr>
          <w:rFonts w:ascii="Calibri" w:cs="Calibri" w:eastAsia="Calibri" w:hAnsi="Calibri"/>
          <w:sz w:val="24"/>
          <w:szCs w:val="24"/>
        </w:rPr>
      </w:pPr>
      <w:hyperlink r:id="rId11">
        <w:r w:rsidDel="00000000" w:rsidR="00000000" w:rsidRPr="00000000">
          <w:rPr>
            <w:rFonts w:ascii="Open Sans" w:cs="Open Sans" w:eastAsia="Open Sans" w:hAnsi="Open Sans"/>
            <w:color w:val="1155cc"/>
            <w:sz w:val="20"/>
            <w:szCs w:val="20"/>
            <w:u w:val="single"/>
            <w:rtl w:val="0"/>
          </w:rPr>
          <w:t xml:space="preserve">jose@qprw.co</w:t>
        </w:r>
      </w:hyperlink>
      <w:r w:rsidDel="00000000" w:rsidR="00000000" w:rsidRPr="00000000">
        <w:rPr>
          <w:rFonts w:ascii="Open Sans" w:cs="Open Sans" w:eastAsia="Open Sans" w:hAnsi="Open Sans"/>
          <w:sz w:val="20"/>
          <w:szCs w:val="20"/>
          <w:rtl w:val="0"/>
        </w:rPr>
        <w:t xml:space="preserve">       </w:t>
      </w:r>
      <w:hyperlink r:id="rId12">
        <w:r w:rsidDel="00000000" w:rsidR="00000000" w:rsidRPr="00000000">
          <w:rPr>
            <w:rFonts w:ascii="Open Sans" w:cs="Open Sans" w:eastAsia="Open Sans" w:hAnsi="Open Sans"/>
            <w:color w:val="1155cc"/>
            <w:sz w:val="20"/>
            <w:szCs w:val="20"/>
            <w:u w:val="single"/>
            <w:rtl w:val="0"/>
          </w:rPr>
          <w:t xml:space="preserve">  paola@qprw.co</w:t>
        </w:r>
      </w:hyperlink>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2152650</wp:posOffset>
          </wp:positionH>
          <wp:positionV relativeFrom="paragraph">
            <wp:posOffset>-438149</wp:posOffset>
          </wp:positionV>
          <wp:extent cx="1552575" cy="103346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2575" cy="10334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jose@qprw.co" TargetMode="External"/><Relationship Id="rId10" Type="http://schemas.openxmlformats.org/officeDocument/2006/relationships/hyperlink" Target="https://www.youtube.com/user/JackDaniels" TargetMode="External"/><Relationship Id="rId13" Type="http://schemas.openxmlformats.org/officeDocument/2006/relationships/header" Target="header1.xml"/><Relationship Id="rId12" Type="http://schemas.openxmlformats.org/officeDocument/2006/relationships/hyperlink" Target="mailto:paol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nstagram.com/jackdanielsmexico" TargetMode="External"/><Relationship Id="rId5" Type="http://schemas.openxmlformats.org/officeDocument/2006/relationships/styles" Target="styles.xml"/><Relationship Id="rId6" Type="http://schemas.openxmlformats.org/officeDocument/2006/relationships/hyperlink" Target="https://www.jackdaniels.com" TargetMode="External"/><Relationship Id="rId7" Type="http://schemas.openxmlformats.org/officeDocument/2006/relationships/hyperlink" Target="https://www.facebook.com/JackDanielsMx" TargetMode="External"/><Relationship Id="rId8" Type="http://schemas.openxmlformats.org/officeDocument/2006/relationships/hyperlink" Target="https://twitter.com/jackdaniels_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